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2"/>
        <w:gridCol w:w="1133"/>
        <w:gridCol w:w="1701"/>
        <w:gridCol w:w="1416"/>
        <w:gridCol w:w="127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979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课程学分:  学分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共  个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教学周</w:t>
            </w:r>
          </w:p>
        </w:tc>
        <w:tc>
          <w:tcPr>
            <w:tcW w:w="1829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每周  次课</w:t>
            </w:r>
          </w:p>
        </w:tc>
        <w:tc>
          <w:tcPr>
            <w:tcW w:w="152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每次课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教学周次</w:t>
            </w:r>
          </w:p>
        </w:tc>
        <w:tc>
          <w:tcPr>
            <w:tcW w:w="50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课时安排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主讲教师</w:t>
            </w:r>
          </w:p>
        </w:tc>
        <w:tc>
          <w:tcPr>
            <w:tcW w:w="998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教学进度（章节讲/知识单元）</w:t>
            </w:r>
          </w:p>
        </w:tc>
        <w:tc>
          <w:tcPr>
            <w:tcW w:w="831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课程思政点</w:t>
            </w:r>
          </w:p>
        </w:tc>
        <w:tc>
          <w:tcPr>
            <w:tcW w:w="74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融入方式与教学方法</w:t>
            </w:r>
          </w:p>
        </w:tc>
        <w:tc>
          <w:tcPr>
            <w:tcW w:w="778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预期教学成效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/>
              </w:rPr>
              <w:t>中央厨房的基本概况</w:t>
            </w:r>
          </w:p>
        </w:tc>
        <w:tc>
          <w:tcPr>
            <w:tcW w:w="831" w:type="pct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维护党中央的统一领导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把人民群众对健康美好生活的追求放在首要位置，确保食品的安全。</w:t>
            </w:r>
          </w:p>
        </w:tc>
        <w:tc>
          <w:tcPr>
            <w:tcW w:w="749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通过中央服务地方服务百姓的理念融入，采用讲解案例分析法等教学方法</w:t>
            </w:r>
          </w:p>
        </w:tc>
        <w:tc>
          <w:tcPr>
            <w:tcW w:w="778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使学生获得与中央厨房相关的基本概念、基本理论，掌握中央厨房设计与管理的基本规律、基本方法和基本技能。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/>
              </w:rPr>
              <w:t>中央厨房的基本概况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中央厨房的设计思路与关键※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中央厨房的设计思路与关键※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中央厨房的设计思路与关键※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中央厨房的设计思路与关键※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中央厨房的经营管理※</w:t>
            </w:r>
          </w:p>
        </w:tc>
        <w:tc>
          <w:tcPr>
            <w:tcW w:w="831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维护党中央的统一领导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把人民群众对健康美好生活的追求放在首要位置，确保食品的安全。</w:t>
            </w:r>
          </w:p>
        </w:tc>
        <w:tc>
          <w:tcPr>
            <w:tcW w:w="749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通过中央服务地方服务百姓的理念融入，采用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讲解案例分析法等教学方法</w:t>
            </w:r>
          </w:p>
        </w:tc>
        <w:tc>
          <w:tcPr>
            <w:tcW w:w="778" w:type="pct"/>
            <w:vMerge w:val="restart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2.培养学生在中央厨房中综合应用多科学知识的能力，应用整体观念进行设计操作的能力，应用定量分析的方法解决具体问题的能力。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3.提高学生运用相关理论知识和技能进行不同类型专业厨房的设计，并能进行有效常规管理和创新管理的能力。理解坚决维护党中央的统一领导的必要性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中央厨房的经营管理※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中央厨房的经营管理※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中央厨房的经营管理※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中央厨房的经营管理※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中央厨房应用与发展※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中央厨房应用与发展※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中央厨房应用与发展※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行业风险评价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right"/>
        </w:trPr>
        <w:tc>
          <w:tcPr>
            <w:tcW w:w="479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00" w:type="pct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65" w:type="pc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黄武营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陈俊生</w:t>
            </w:r>
          </w:p>
        </w:tc>
        <w:tc>
          <w:tcPr>
            <w:tcW w:w="998" w:type="pct"/>
          </w:tcPr>
          <w:p>
            <w:r>
              <w:rPr>
                <w:rFonts w:hint="eastAsia" w:ascii="宋体" w:hAnsi="宋体" w:eastAsia="宋体" w:cs="宋体"/>
                <w:bCs/>
                <w:szCs w:val="21"/>
              </w:rPr>
              <w:t>行业风险评价</w:t>
            </w:r>
          </w:p>
        </w:tc>
        <w:tc>
          <w:tcPr>
            <w:tcW w:w="831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r>
        <w:rPr>
          <w:rFonts w:hint="eastAsia" w:ascii="黑体" w:hAnsi="黑体" w:eastAsia="黑体"/>
          <w:sz w:val="24"/>
          <w:szCs w:val="24"/>
        </w:rPr>
        <w:t>六、课程教学评价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4C3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2024-01-29T15:52:05Z</dcterms:created>
  <dc:creator>飘香厨房</dc:creator>
  <cp:lastModifiedBy>zzzzz</cp:lastModifiedBy>
  <dcterms:modified xsi:type="dcterms:W3CDTF">2024-01-29T15:52:14Z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BEC4FFF297AA4F0091DA05D87A68A07B_12</vt:lpwstr>
  </property>
</Properties>
</file>